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องค์การบริหารส่วนตำบลสำพันตา อำเภอนาดี จังหวัดปราจีนบุรี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30 วัน นับตั้งแต่วันที่ได้มีการเปลี่ยนแปลงรายการนั้นๆ  (มาตรา 13)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ติดต่อ องค์การบริหารส่วนตำบลสำพันตา </w:t>
              <w:br/>
              <w:t xml:space="preserve">โทรศัพท์ : 037-204094</w:t>
              <w:br/>
              <w:t xml:space="preserve"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(สำเนาบัตรประจำตัวของผู้ประกอบพาณิชยกิจ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(สำเนาทะเบียนบ้านของผู้ประกอบพาณิชยกิจ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(ต้นฉบับ) 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                                          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ใบทะเบียนพาณิชย์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 (ครั้งละ)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องค์การบริหารส่วนตำบลสำพันตา อำเภอนาดี จังหวัดปราจีนบุรี 25220 โทร. 037-204094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 ขององค์การบริหารส่วนตำบลสำพันตา สำเนาคู่มือประชาชน 04/08/2015 09:34 จัดทำโดย นายสถาพร  คำวิลัย ตำแหน่ง เจ้าพนักงานธุรการ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